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D89" w:rsidRPr="003A38C4" w:rsidRDefault="00582D89" w:rsidP="00582D89">
      <w:pPr>
        <w:pStyle w:val="CABEZA"/>
        <w:rPr>
          <w:rFonts w:cs="Times New Roman"/>
        </w:rPr>
      </w:pPr>
      <w:r w:rsidRPr="003A38C4">
        <w:rPr>
          <w:rFonts w:cs="Times New Roman"/>
        </w:rPr>
        <w:t>SECRETARIA DE ECONOMIA</w:t>
      </w:r>
    </w:p>
    <w:p w:rsidR="00582D89" w:rsidRDefault="00582D89"/>
    <w:p w:rsidR="00582D89" w:rsidRPr="003A38C4" w:rsidRDefault="00582D89" w:rsidP="00582D89">
      <w:pPr>
        <w:pStyle w:val="Titulo1"/>
        <w:rPr>
          <w:rFonts w:cs="Times New Roman"/>
          <w:szCs w:val="16"/>
        </w:rPr>
      </w:pPr>
      <w:bookmarkStart w:id="0" w:name="_GoBack"/>
      <w:r w:rsidRPr="003A38C4">
        <w:rPr>
          <w:rFonts w:cs="Times New Roman"/>
        </w:rPr>
        <w:t xml:space="preserve">DECLARATORIA de vigencia de la Norma Mexicana </w:t>
      </w:r>
      <w:r w:rsidRPr="003A38C4">
        <w:rPr>
          <w:rFonts w:cs="Times New Roman"/>
          <w:szCs w:val="16"/>
        </w:rPr>
        <w:t>NMX-J-284-ANCE-2018</w:t>
      </w:r>
      <w:r w:rsidRPr="003A38C4">
        <w:rPr>
          <w:rFonts w:cs="Times New Roman"/>
        </w:rPr>
        <w:t>.</w:t>
      </w:r>
    </w:p>
    <w:bookmarkEnd w:id="0"/>
    <w:p w:rsidR="00582D89" w:rsidRPr="003A38C4" w:rsidRDefault="00582D89" w:rsidP="00582D89">
      <w:pPr>
        <w:pStyle w:val="Titulo2"/>
        <w:rPr>
          <w:szCs w:val="16"/>
        </w:rPr>
      </w:pPr>
      <w:r w:rsidRPr="003A38C4">
        <w:t xml:space="preserve">Al margen un sello con el Escudo Nacional, que dice: Estados Unidos </w:t>
      </w:r>
      <w:proofErr w:type="gramStart"/>
      <w:r w:rsidRPr="003A38C4">
        <w:t>Mexicanos.-</w:t>
      </w:r>
      <w:proofErr w:type="gramEnd"/>
      <w:r w:rsidRPr="003A38C4">
        <w:t xml:space="preserve"> Secretaría de Economía.- Subsecretaría de Competitividad y Normatividad.- </w:t>
      </w:r>
      <w:r w:rsidRPr="003A38C4">
        <w:rPr>
          <w:szCs w:val="16"/>
        </w:rPr>
        <w:t>Dirección General de Normas.</w:t>
      </w:r>
    </w:p>
    <w:p w:rsidR="00582D89" w:rsidRPr="005C0C16" w:rsidRDefault="00582D89" w:rsidP="00582D89">
      <w:pPr>
        <w:pStyle w:val="texto"/>
        <w:spacing w:line="275" w:lineRule="exact"/>
        <w:rPr>
          <w:sz w:val="16"/>
          <w:szCs w:val="16"/>
        </w:rPr>
      </w:pPr>
      <w:r w:rsidRPr="005C0C16">
        <w:rPr>
          <w:sz w:val="16"/>
          <w:szCs w:val="16"/>
        </w:rPr>
        <w:t>DECLARATORIA DE VIGENCIA DE LA NORMA MEXICANA NMX-J-284-ANCE-2018, “TRANSFORMADORES Y A</w:t>
      </w:r>
      <w:r>
        <w:rPr>
          <w:sz w:val="16"/>
          <w:szCs w:val="16"/>
        </w:rPr>
        <w:t>UTOTRANSFORMADORES DE POTENCIA-</w:t>
      </w:r>
      <w:r w:rsidRPr="005C0C16">
        <w:rPr>
          <w:sz w:val="16"/>
          <w:szCs w:val="16"/>
        </w:rPr>
        <w:t>ESPECIFICACIONES (CANCELA A LA NMX-J-284-ANCE-2012)”</w:t>
      </w:r>
      <w:r>
        <w:rPr>
          <w:sz w:val="16"/>
          <w:szCs w:val="16"/>
        </w:rPr>
        <w:t>.</w:t>
      </w:r>
    </w:p>
    <w:p w:rsidR="00582D89" w:rsidRPr="005A6FD2" w:rsidRDefault="00582D89" w:rsidP="00582D89">
      <w:pPr>
        <w:pStyle w:val="texto"/>
        <w:spacing w:line="275" w:lineRule="exact"/>
        <w:rPr>
          <w:szCs w:val="22"/>
        </w:rPr>
      </w:pPr>
      <w:r w:rsidRPr="005A6FD2">
        <w:rPr>
          <w:szCs w:val="22"/>
        </w:rPr>
        <w:t xml:space="preserve">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w:t>
      </w:r>
      <w:proofErr w:type="gramStart"/>
      <w:r w:rsidRPr="005A6FD2">
        <w:rPr>
          <w:szCs w:val="22"/>
        </w:rPr>
        <w:t xml:space="preserve">Ciudad </w:t>
      </w:r>
      <w:r>
        <w:rPr>
          <w:szCs w:val="22"/>
        </w:rPr>
        <w:t xml:space="preserve"> </w:t>
      </w:r>
      <w:r w:rsidRPr="005A6FD2">
        <w:rPr>
          <w:szCs w:val="22"/>
        </w:rPr>
        <w:t>de</w:t>
      </w:r>
      <w:proofErr w:type="gramEnd"/>
      <w:r w:rsidRPr="005A6FD2">
        <w:rPr>
          <w:szCs w:val="22"/>
        </w:rPr>
        <w:t xml:space="preserve"> México.</w:t>
      </w:r>
    </w:p>
    <w:p w:rsidR="00582D89" w:rsidRPr="005A6FD2" w:rsidRDefault="00582D89" w:rsidP="00582D89">
      <w:pPr>
        <w:pStyle w:val="texto"/>
        <w:spacing w:line="275" w:lineRule="exact"/>
        <w:rPr>
          <w:szCs w:val="22"/>
        </w:rPr>
      </w:pPr>
      <w:r w:rsidRPr="005A6FD2">
        <w:rPr>
          <w:szCs w:val="22"/>
        </w:rPr>
        <w:t>La presente Norma Mexicana NMX-J-284-ANCE-2018 entrará en vigor 60 días naturales contados a partir del día natural inmediato siguiente de la publicación de esta Declaratoria de Vigencia en el Diario Oficial de la Federación. SINEC-20180813175904563</w:t>
      </w:r>
      <w:r>
        <w:rPr>
          <w:szCs w:val="22"/>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582D89" w:rsidRPr="005A6FD2" w:rsidTr="00AB1EAA">
        <w:tblPrEx>
          <w:tblCellMar>
            <w:top w:w="0" w:type="dxa"/>
            <w:bottom w:w="0" w:type="dxa"/>
          </w:tblCellMar>
        </w:tblPrEx>
        <w:trPr>
          <w:trHeight w:val="144"/>
        </w:trPr>
        <w:tc>
          <w:tcPr>
            <w:tcW w:w="2769" w:type="dxa"/>
            <w:shd w:val="pct10" w:color="auto" w:fill="auto"/>
            <w:noWrap/>
          </w:tcPr>
          <w:p w:rsidR="00582D89" w:rsidRPr="005A6FD2" w:rsidRDefault="00582D89" w:rsidP="00AB1EAA">
            <w:pPr>
              <w:pStyle w:val="texto"/>
              <w:spacing w:line="275" w:lineRule="exact"/>
              <w:ind w:firstLine="0"/>
              <w:jc w:val="center"/>
              <w:rPr>
                <w:b/>
                <w:szCs w:val="22"/>
              </w:rPr>
            </w:pPr>
            <w:r w:rsidRPr="005A6FD2">
              <w:rPr>
                <w:b/>
                <w:szCs w:val="22"/>
              </w:rPr>
              <w:t>CLAVE O CÓDIGO</w:t>
            </w:r>
          </w:p>
        </w:tc>
        <w:tc>
          <w:tcPr>
            <w:tcW w:w="5943" w:type="dxa"/>
            <w:shd w:val="pct10" w:color="auto" w:fill="auto"/>
          </w:tcPr>
          <w:p w:rsidR="00582D89" w:rsidRPr="005A6FD2" w:rsidRDefault="00582D89" w:rsidP="00AB1EAA">
            <w:pPr>
              <w:pStyle w:val="texto"/>
              <w:spacing w:line="275" w:lineRule="exact"/>
              <w:ind w:firstLine="0"/>
              <w:jc w:val="center"/>
              <w:rPr>
                <w:b/>
                <w:szCs w:val="22"/>
              </w:rPr>
            </w:pPr>
            <w:r w:rsidRPr="005A6FD2">
              <w:rPr>
                <w:b/>
                <w:szCs w:val="22"/>
              </w:rPr>
              <w:t>TÍTULO DE LA NORMA MEXICANA</w:t>
            </w:r>
          </w:p>
        </w:tc>
      </w:tr>
      <w:tr w:rsidR="00582D89" w:rsidRPr="005A6FD2" w:rsidTr="00AB1EAA">
        <w:tblPrEx>
          <w:tblCellMar>
            <w:top w:w="0" w:type="dxa"/>
            <w:bottom w:w="0" w:type="dxa"/>
          </w:tblCellMar>
        </w:tblPrEx>
        <w:trPr>
          <w:trHeight w:val="144"/>
        </w:trPr>
        <w:tc>
          <w:tcPr>
            <w:tcW w:w="2769" w:type="dxa"/>
            <w:vAlign w:val="center"/>
          </w:tcPr>
          <w:p w:rsidR="00582D89" w:rsidRPr="005A6FD2" w:rsidRDefault="00582D89" w:rsidP="00AB1EAA">
            <w:pPr>
              <w:pStyle w:val="texto"/>
              <w:spacing w:line="275" w:lineRule="exact"/>
              <w:ind w:firstLine="0"/>
              <w:jc w:val="center"/>
              <w:rPr>
                <w:b/>
              </w:rPr>
            </w:pPr>
            <w:r w:rsidRPr="004A00E3">
              <w:rPr>
                <w:b/>
                <w:sz w:val="16"/>
              </w:rPr>
              <w:t>NMX-J-284-ANCE-2018</w:t>
            </w:r>
          </w:p>
        </w:tc>
        <w:tc>
          <w:tcPr>
            <w:tcW w:w="5943" w:type="dxa"/>
          </w:tcPr>
          <w:p w:rsidR="00582D89" w:rsidRPr="005C0C16" w:rsidRDefault="00582D89" w:rsidP="00AB1EAA">
            <w:pPr>
              <w:pStyle w:val="texto"/>
              <w:spacing w:line="275" w:lineRule="exact"/>
              <w:ind w:firstLine="0"/>
              <w:rPr>
                <w:szCs w:val="22"/>
              </w:rPr>
            </w:pPr>
            <w:r w:rsidRPr="005C0C16">
              <w:rPr>
                <w:szCs w:val="22"/>
              </w:rPr>
              <w:t>Transformadores y au</w:t>
            </w:r>
            <w:r>
              <w:rPr>
                <w:szCs w:val="22"/>
              </w:rPr>
              <w:t>totransformadores de potencia-</w:t>
            </w:r>
            <w:r w:rsidRPr="005C0C16">
              <w:rPr>
                <w:szCs w:val="22"/>
              </w:rPr>
              <w:t>Especificaciones (Cancela a la NMX-J-284-ANCE-2012).</w:t>
            </w:r>
          </w:p>
        </w:tc>
      </w:tr>
      <w:tr w:rsidR="00582D89" w:rsidRPr="005A6FD2" w:rsidTr="00AB1EAA">
        <w:tblPrEx>
          <w:tblCellMar>
            <w:top w:w="0" w:type="dxa"/>
            <w:bottom w:w="0" w:type="dxa"/>
          </w:tblCellMar>
        </w:tblPrEx>
        <w:trPr>
          <w:trHeight w:val="144"/>
        </w:trPr>
        <w:tc>
          <w:tcPr>
            <w:tcW w:w="8712" w:type="dxa"/>
            <w:gridSpan w:val="2"/>
          </w:tcPr>
          <w:p w:rsidR="00582D89" w:rsidRPr="005A6FD2" w:rsidRDefault="00582D89" w:rsidP="00AB1EAA">
            <w:pPr>
              <w:pStyle w:val="texto"/>
              <w:spacing w:line="275" w:lineRule="exact"/>
              <w:ind w:firstLine="0"/>
              <w:jc w:val="center"/>
              <w:rPr>
                <w:b/>
                <w:szCs w:val="22"/>
              </w:rPr>
            </w:pPr>
            <w:r w:rsidRPr="005A6FD2">
              <w:rPr>
                <w:b/>
                <w:szCs w:val="22"/>
              </w:rPr>
              <w:t>Objetivo y campo de aplicación</w:t>
            </w:r>
          </w:p>
          <w:p w:rsidR="00582D89" w:rsidRPr="005A6FD2" w:rsidRDefault="00582D89" w:rsidP="00AB1EAA">
            <w:pPr>
              <w:pStyle w:val="texto"/>
              <w:spacing w:line="275" w:lineRule="exact"/>
              <w:ind w:firstLine="0"/>
              <w:rPr>
                <w:szCs w:val="22"/>
              </w:rPr>
            </w:pPr>
            <w:r w:rsidRPr="005A6FD2">
              <w:rPr>
                <w:szCs w:val="22"/>
              </w:rPr>
              <w:t>Esta Norma Mexicana establece las especificaciones eléctricas, mecánicas y de pruebas para transformadores de potencia.</w:t>
            </w:r>
          </w:p>
          <w:p w:rsidR="00582D89" w:rsidRPr="005A6FD2" w:rsidRDefault="00582D89" w:rsidP="00AB1EAA">
            <w:pPr>
              <w:pStyle w:val="texto"/>
              <w:spacing w:line="275" w:lineRule="exact"/>
              <w:ind w:firstLine="0"/>
              <w:rPr>
                <w:szCs w:val="22"/>
              </w:rPr>
            </w:pPr>
            <w:r w:rsidRPr="005A6FD2">
              <w:rPr>
                <w:szCs w:val="22"/>
              </w:rPr>
              <w:t xml:space="preserve">La presente Norma Mexicana aplica para transformadores y autotransformadores inmersos en líquido aislante, servicio intemperie e interior, </w:t>
            </w:r>
            <w:proofErr w:type="spellStart"/>
            <w:r w:rsidRPr="005A6FD2">
              <w:rPr>
                <w:szCs w:val="22"/>
              </w:rPr>
              <w:t>autoenfriados</w:t>
            </w:r>
            <w:proofErr w:type="spellEnd"/>
            <w:r w:rsidRPr="005A6FD2">
              <w:rPr>
                <w:szCs w:val="22"/>
              </w:rPr>
              <w:t xml:space="preserve"> o con enfriamiento forzado, monofásicos y trifásicos, mayores que 500 </w:t>
            </w:r>
            <w:proofErr w:type="spellStart"/>
            <w:r w:rsidRPr="005A6FD2">
              <w:rPr>
                <w:szCs w:val="22"/>
              </w:rPr>
              <w:t>kVA</w:t>
            </w:r>
            <w:proofErr w:type="spellEnd"/>
            <w:r w:rsidRPr="005A6FD2">
              <w:rPr>
                <w:szCs w:val="22"/>
              </w:rPr>
              <w:t>.</w:t>
            </w:r>
          </w:p>
          <w:p w:rsidR="00582D89" w:rsidRPr="005A6FD2" w:rsidRDefault="00582D89" w:rsidP="00AB1EAA">
            <w:pPr>
              <w:pStyle w:val="texto"/>
              <w:spacing w:line="275" w:lineRule="exact"/>
              <w:ind w:firstLine="0"/>
              <w:rPr>
                <w:szCs w:val="22"/>
              </w:rPr>
            </w:pPr>
            <w:r w:rsidRPr="005A6FD2">
              <w:rPr>
                <w:szCs w:val="22"/>
              </w:rPr>
              <w:t>Esta norma no aplica para los equipos siguientes:</w:t>
            </w:r>
          </w:p>
          <w:p w:rsidR="00582D89" w:rsidRPr="005A6FD2" w:rsidRDefault="00582D89" w:rsidP="00AB1EAA">
            <w:pPr>
              <w:pStyle w:val="texto"/>
              <w:spacing w:line="275" w:lineRule="exact"/>
              <w:ind w:left="396" w:hanging="396"/>
              <w:rPr>
                <w:szCs w:val="22"/>
              </w:rPr>
            </w:pPr>
            <w:r w:rsidRPr="005A6FD2">
              <w:rPr>
                <w:szCs w:val="22"/>
              </w:rPr>
              <w:t>a)</w:t>
            </w:r>
            <w:r w:rsidRPr="005A6FD2">
              <w:rPr>
                <w:szCs w:val="22"/>
              </w:rPr>
              <w:tab/>
              <w:t>Transformadores para convertidores estáticos;</w:t>
            </w:r>
          </w:p>
          <w:p w:rsidR="00582D89" w:rsidRPr="005A6FD2" w:rsidRDefault="00582D89" w:rsidP="00AB1EAA">
            <w:pPr>
              <w:pStyle w:val="texto"/>
              <w:spacing w:line="275" w:lineRule="exact"/>
              <w:ind w:left="396" w:hanging="396"/>
              <w:rPr>
                <w:szCs w:val="22"/>
              </w:rPr>
            </w:pPr>
            <w:r w:rsidRPr="005A6FD2">
              <w:rPr>
                <w:szCs w:val="22"/>
              </w:rPr>
              <w:t>b)</w:t>
            </w:r>
            <w:r w:rsidRPr="005A6FD2">
              <w:rPr>
                <w:szCs w:val="22"/>
              </w:rPr>
              <w:tab/>
              <w:t>Transformadores de prueba;</w:t>
            </w:r>
          </w:p>
          <w:p w:rsidR="00582D89" w:rsidRPr="005A6FD2" w:rsidRDefault="00582D89" w:rsidP="00AB1EAA">
            <w:pPr>
              <w:pStyle w:val="texto"/>
              <w:spacing w:line="275" w:lineRule="exact"/>
              <w:ind w:left="396" w:hanging="396"/>
              <w:rPr>
                <w:szCs w:val="22"/>
              </w:rPr>
            </w:pPr>
            <w:r w:rsidRPr="005A6FD2">
              <w:rPr>
                <w:szCs w:val="22"/>
              </w:rPr>
              <w:t>c)</w:t>
            </w:r>
            <w:r w:rsidRPr="005A6FD2">
              <w:rPr>
                <w:szCs w:val="22"/>
              </w:rPr>
              <w:tab/>
              <w:t>Transformadores para horno de arco;</w:t>
            </w:r>
          </w:p>
          <w:p w:rsidR="00582D89" w:rsidRPr="005A6FD2" w:rsidRDefault="00582D89" w:rsidP="00AB1EAA">
            <w:pPr>
              <w:pStyle w:val="texto"/>
              <w:spacing w:line="275" w:lineRule="exact"/>
              <w:ind w:left="396" w:hanging="396"/>
              <w:rPr>
                <w:szCs w:val="22"/>
              </w:rPr>
            </w:pPr>
            <w:r w:rsidRPr="005A6FD2">
              <w:rPr>
                <w:szCs w:val="22"/>
              </w:rPr>
              <w:t>d)</w:t>
            </w:r>
            <w:r w:rsidRPr="005A6FD2">
              <w:rPr>
                <w:szCs w:val="22"/>
              </w:rPr>
              <w:tab/>
              <w:t>Transformadores para tracción con instalación en equipo rodante;</w:t>
            </w:r>
          </w:p>
          <w:p w:rsidR="00582D89" w:rsidRPr="005A6FD2" w:rsidRDefault="00582D89" w:rsidP="00AB1EAA">
            <w:pPr>
              <w:pStyle w:val="texto"/>
              <w:spacing w:line="275" w:lineRule="exact"/>
              <w:ind w:left="396" w:hanging="396"/>
              <w:rPr>
                <w:szCs w:val="22"/>
              </w:rPr>
            </w:pPr>
            <w:r w:rsidRPr="005A6FD2">
              <w:rPr>
                <w:szCs w:val="22"/>
              </w:rPr>
              <w:t>e)</w:t>
            </w:r>
            <w:r w:rsidRPr="005A6FD2">
              <w:rPr>
                <w:szCs w:val="22"/>
              </w:rPr>
              <w:tab/>
              <w:t>Transformadores para conexión de neutro a tierra (estrella interconectada o ZIG-ZAG);</w:t>
            </w:r>
          </w:p>
          <w:p w:rsidR="00582D89" w:rsidRPr="005A6FD2" w:rsidRDefault="00582D89" w:rsidP="00AB1EAA">
            <w:pPr>
              <w:pStyle w:val="texto"/>
              <w:spacing w:line="275" w:lineRule="exact"/>
              <w:ind w:left="396" w:hanging="396"/>
              <w:rPr>
                <w:szCs w:val="22"/>
              </w:rPr>
            </w:pPr>
            <w:r w:rsidRPr="005A6FD2">
              <w:rPr>
                <w:szCs w:val="22"/>
              </w:rPr>
              <w:lastRenderedPageBreak/>
              <w:t>f)</w:t>
            </w:r>
            <w:r w:rsidRPr="005A6FD2">
              <w:rPr>
                <w:szCs w:val="22"/>
              </w:rPr>
              <w:tab/>
              <w:t>Transformadores de instrumento;</w:t>
            </w:r>
          </w:p>
          <w:p w:rsidR="00582D89" w:rsidRPr="005A6FD2" w:rsidRDefault="00582D89" w:rsidP="00AB1EAA">
            <w:pPr>
              <w:pStyle w:val="texto"/>
              <w:spacing w:line="275" w:lineRule="exact"/>
              <w:ind w:left="396" w:hanging="396"/>
              <w:rPr>
                <w:szCs w:val="22"/>
              </w:rPr>
            </w:pPr>
            <w:r w:rsidRPr="005A6FD2">
              <w:rPr>
                <w:szCs w:val="22"/>
              </w:rPr>
              <w:t>g)</w:t>
            </w:r>
            <w:r w:rsidRPr="005A6FD2">
              <w:rPr>
                <w:szCs w:val="22"/>
              </w:rPr>
              <w:tab/>
              <w:t>Transformadores para minas; y</w:t>
            </w:r>
          </w:p>
          <w:p w:rsidR="00582D89" w:rsidRPr="005A6FD2" w:rsidRDefault="00582D89" w:rsidP="00AB1EAA">
            <w:pPr>
              <w:pStyle w:val="texto"/>
              <w:spacing w:line="275" w:lineRule="exact"/>
              <w:ind w:left="396" w:hanging="396"/>
            </w:pPr>
            <w:r w:rsidRPr="005A6FD2">
              <w:rPr>
                <w:szCs w:val="22"/>
              </w:rPr>
              <w:t>h)</w:t>
            </w:r>
            <w:r w:rsidRPr="005A6FD2">
              <w:rPr>
                <w:szCs w:val="22"/>
              </w:rPr>
              <w:tab/>
              <w:t>Transformadores móviles.</w:t>
            </w:r>
          </w:p>
        </w:tc>
      </w:tr>
      <w:tr w:rsidR="00582D89" w:rsidRPr="005A6FD2" w:rsidTr="00AB1EAA">
        <w:tblPrEx>
          <w:tblCellMar>
            <w:top w:w="0" w:type="dxa"/>
            <w:bottom w:w="0" w:type="dxa"/>
          </w:tblCellMar>
        </w:tblPrEx>
        <w:trPr>
          <w:trHeight w:val="144"/>
        </w:trPr>
        <w:tc>
          <w:tcPr>
            <w:tcW w:w="8712" w:type="dxa"/>
            <w:gridSpan w:val="2"/>
          </w:tcPr>
          <w:p w:rsidR="00582D89" w:rsidRPr="005A6FD2" w:rsidRDefault="00582D89" w:rsidP="00AB1EAA">
            <w:pPr>
              <w:pStyle w:val="texto"/>
              <w:spacing w:line="276" w:lineRule="exact"/>
              <w:ind w:firstLine="0"/>
              <w:jc w:val="center"/>
              <w:rPr>
                <w:b/>
                <w:szCs w:val="22"/>
              </w:rPr>
            </w:pPr>
            <w:r w:rsidRPr="005A6FD2">
              <w:rPr>
                <w:b/>
                <w:szCs w:val="22"/>
              </w:rPr>
              <w:lastRenderedPageBreak/>
              <w:t>Concordancia con Normas Internacionales</w:t>
            </w:r>
          </w:p>
          <w:p w:rsidR="00582D89" w:rsidRPr="005A6FD2" w:rsidRDefault="00582D89" w:rsidP="00AB1EAA">
            <w:pPr>
              <w:pStyle w:val="texto"/>
              <w:spacing w:line="276" w:lineRule="exact"/>
              <w:ind w:firstLine="0"/>
              <w:rPr>
                <w:szCs w:val="22"/>
              </w:rPr>
            </w:pPr>
            <w:r w:rsidRPr="005A6FD2">
              <w:rPr>
                <w:szCs w:val="22"/>
              </w:rPr>
              <w:t>Esta NMX-J-284-ANCE-2018, Transformadores y au</w:t>
            </w:r>
            <w:r>
              <w:rPr>
                <w:szCs w:val="22"/>
              </w:rPr>
              <w:t>totransformadores de potencia-</w:t>
            </w:r>
            <w:proofErr w:type="gramStart"/>
            <w:r w:rsidRPr="005A6FD2">
              <w:rPr>
                <w:szCs w:val="22"/>
              </w:rPr>
              <w:t xml:space="preserve">Especificaciones, </w:t>
            </w:r>
            <w:r>
              <w:rPr>
                <w:szCs w:val="22"/>
              </w:rPr>
              <w:t xml:space="preserve"> </w:t>
            </w:r>
            <w:r w:rsidRPr="005A6FD2">
              <w:rPr>
                <w:szCs w:val="22"/>
              </w:rPr>
              <w:t>NO</w:t>
            </w:r>
            <w:proofErr w:type="gramEnd"/>
            <w:r w:rsidRPr="005A6FD2">
              <w:rPr>
                <w:szCs w:val="22"/>
              </w:rPr>
              <w:t xml:space="preserve"> ES EQUIVALENTE con la Norma Internacional “IE</w:t>
            </w:r>
            <w:r>
              <w:rPr>
                <w:szCs w:val="22"/>
              </w:rPr>
              <w:t xml:space="preserve">C 60076-1, </w:t>
            </w:r>
            <w:proofErr w:type="spellStart"/>
            <w:r>
              <w:rPr>
                <w:szCs w:val="22"/>
              </w:rPr>
              <w:t>Power</w:t>
            </w:r>
            <w:proofErr w:type="spellEnd"/>
            <w:r>
              <w:rPr>
                <w:szCs w:val="22"/>
              </w:rPr>
              <w:t xml:space="preserve"> Transformers-</w:t>
            </w:r>
            <w:proofErr w:type="spellStart"/>
            <w:r w:rsidRPr="005A6FD2">
              <w:rPr>
                <w:szCs w:val="22"/>
              </w:rPr>
              <w:t>Part</w:t>
            </w:r>
            <w:proofErr w:type="spellEnd"/>
            <w:r w:rsidRPr="005A6FD2">
              <w:rPr>
                <w:szCs w:val="22"/>
              </w:rPr>
              <w:t xml:space="preserve"> 1: General, ed3.0 (2011-04)”, ya que no es posible concordar con la Norma Internacional por las razones siguientes:</w:t>
            </w:r>
          </w:p>
          <w:p w:rsidR="00582D89" w:rsidRPr="005A6FD2" w:rsidRDefault="00582D89" w:rsidP="00AB1EAA">
            <w:pPr>
              <w:pStyle w:val="texto"/>
              <w:spacing w:line="276" w:lineRule="exact"/>
              <w:ind w:left="396" w:hanging="396"/>
              <w:rPr>
                <w:szCs w:val="22"/>
              </w:rPr>
            </w:pPr>
            <w:r w:rsidRPr="005A6FD2">
              <w:rPr>
                <w:szCs w:val="22"/>
              </w:rPr>
              <w:t>a)</w:t>
            </w:r>
            <w:r w:rsidRPr="005A6FD2">
              <w:rPr>
                <w:szCs w:val="22"/>
              </w:rPr>
              <w:tab/>
              <w:t>Esta Norma Mexicana sólo contiene requisitos para transformadores de potencia, a diferencia de la Norma Internacional que contempla requisitos para transformadores de distribución y de potencia;</w:t>
            </w:r>
          </w:p>
          <w:p w:rsidR="00582D89" w:rsidRPr="005A6FD2" w:rsidRDefault="00582D89" w:rsidP="00AB1EAA">
            <w:pPr>
              <w:pStyle w:val="texto"/>
              <w:spacing w:line="276" w:lineRule="exact"/>
              <w:ind w:left="396" w:hanging="396"/>
              <w:rPr>
                <w:szCs w:val="22"/>
              </w:rPr>
            </w:pPr>
            <w:r w:rsidRPr="005A6FD2">
              <w:rPr>
                <w:szCs w:val="22"/>
              </w:rPr>
              <w:t>b)</w:t>
            </w:r>
            <w:r w:rsidRPr="005A6FD2">
              <w:rPr>
                <w:szCs w:val="22"/>
              </w:rPr>
              <w:tab/>
              <w:t>La presente Norma Mexicana integra las especificaciones que de acuerdo con la práctica nacional han demostrado satisfacer los requisitos de los usuarios, ya que proporcionan intercambiabilidad y compatibilidad a los transformadores; y</w:t>
            </w:r>
          </w:p>
          <w:p w:rsidR="00582D89" w:rsidRPr="005A6FD2" w:rsidRDefault="00582D89" w:rsidP="00AB1EAA">
            <w:pPr>
              <w:pStyle w:val="texto"/>
              <w:spacing w:line="276" w:lineRule="exact"/>
              <w:ind w:left="396" w:hanging="396"/>
              <w:rPr>
                <w:b/>
                <w:szCs w:val="22"/>
              </w:rPr>
            </w:pPr>
            <w:r w:rsidRPr="005A6FD2">
              <w:rPr>
                <w:szCs w:val="22"/>
              </w:rPr>
              <w:t>c)</w:t>
            </w:r>
            <w:r w:rsidRPr="005A6FD2">
              <w:rPr>
                <w:szCs w:val="22"/>
              </w:rPr>
              <w:tab/>
              <w:t>La presente Norma Mexicana hace referencia a métodos de prueba contenidos en Normas Mexicanas que en la práctica nacional representan una solución eficaz de ingeniería para obtener reproducibilidad y repetibilidad en los resultados.</w:t>
            </w:r>
          </w:p>
        </w:tc>
      </w:tr>
    </w:tbl>
    <w:p w:rsidR="00582D89" w:rsidRPr="00207B23" w:rsidRDefault="00582D89" w:rsidP="00582D8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582D89" w:rsidRPr="005A6FD2" w:rsidTr="00AB1EAA">
        <w:tblPrEx>
          <w:tblCellMar>
            <w:top w:w="0" w:type="dxa"/>
            <w:bottom w:w="0" w:type="dxa"/>
          </w:tblCellMar>
        </w:tblPrEx>
        <w:trPr>
          <w:trHeight w:val="144"/>
        </w:trPr>
        <w:tc>
          <w:tcPr>
            <w:tcW w:w="8712" w:type="dxa"/>
          </w:tcPr>
          <w:p w:rsidR="00582D89" w:rsidRPr="005A6FD2" w:rsidRDefault="00582D89" w:rsidP="00AB1EAA">
            <w:pPr>
              <w:pStyle w:val="texto"/>
              <w:spacing w:line="276" w:lineRule="exact"/>
              <w:ind w:firstLine="0"/>
              <w:jc w:val="center"/>
              <w:rPr>
                <w:b/>
                <w:szCs w:val="22"/>
              </w:rPr>
            </w:pPr>
            <w:r w:rsidRPr="005A6FD2">
              <w:rPr>
                <w:b/>
                <w:szCs w:val="22"/>
              </w:rPr>
              <w:t>Bibliografía</w:t>
            </w:r>
          </w:p>
          <w:p w:rsidR="00582D89" w:rsidRPr="005A6FD2" w:rsidRDefault="00582D89" w:rsidP="00AB1EAA">
            <w:pPr>
              <w:pStyle w:val="texto"/>
              <w:spacing w:line="276" w:lineRule="exact"/>
              <w:ind w:left="396" w:hanging="396"/>
              <w:rPr>
                <w:szCs w:val="22"/>
              </w:rPr>
            </w:pPr>
            <w:r>
              <w:rPr>
                <w:szCs w:val="22"/>
              </w:rPr>
              <w:t>●</w:t>
            </w:r>
            <w:r w:rsidRPr="005A6FD2">
              <w:rPr>
                <w:szCs w:val="22"/>
              </w:rPr>
              <w:tab/>
              <w:t>NOM-008-SCFI-2002, Sistema general de unidades de medida, publicada en el Diario Oficial de la Federación el 27 de noviembre de 2002.</w:t>
            </w:r>
          </w:p>
          <w:p w:rsidR="00582D89" w:rsidRPr="005A6FD2" w:rsidRDefault="00582D89" w:rsidP="00AB1EAA">
            <w:pPr>
              <w:pStyle w:val="texto"/>
              <w:spacing w:line="276" w:lineRule="exact"/>
              <w:ind w:left="396" w:hanging="396"/>
              <w:rPr>
                <w:szCs w:val="22"/>
              </w:rPr>
            </w:pPr>
            <w:r>
              <w:rPr>
                <w:szCs w:val="22"/>
              </w:rPr>
              <w:t>●</w:t>
            </w:r>
            <w:r w:rsidRPr="005A6FD2">
              <w:rPr>
                <w:szCs w:val="22"/>
              </w:rPr>
              <w:tab/>
              <w:t>NOM-063-SC</w:t>
            </w:r>
            <w:r>
              <w:rPr>
                <w:szCs w:val="22"/>
              </w:rPr>
              <w:t>FI-2001, Productos eléctricos-Conductores-</w:t>
            </w:r>
            <w:r w:rsidRPr="005A6FD2">
              <w:rPr>
                <w:szCs w:val="22"/>
              </w:rPr>
              <w:t>Requisitos de seguridad, publicada en el Diario Oficial de la Federación el 22 de febrero de 2002.</w:t>
            </w:r>
          </w:p>
          <w:p w:rsidR="00582D89" w:rsidRPr="005A6FD2" w:rsidRDefault="00582D89" w:rsidP="00AB1EAA">
            <w:pPr>
              <w:pStyle w:val="texto"/>
              <w:spacing w:line="276" w:lineRule="exact"/>
              <w:ind w:left="396" w:hanging="396"/>
              <w:rPr>
                <w:szCs w:val="22"/>
              </w:rPr>
            </w:pPr>
            <w:r>
              <w:rPr>
                <w:szCs w:val="22"/>
              </w:rPr>
              <w:t>●</w:t>
            </w:r>
            <w:r w:rsidRPr="005A6FD2">
              <w:rPr>
                <w:szCs w:val="22"/>
              </w:rPr>
              <w:tab/>
              <w:t>NMX-J-075/1-1994-ANCE, Aparatos elé</w:t>
            </w:r>
            <w:r>
              <w:rPr>
                <w:szCs w:val="22"/>
              </w:rPr>
              <w:t>ctricos-Máquinas rotatorias-</w:t>
            </w:r>
            <w:r w:rsidRPr="005A6FD2">
              <w:rPr>
                <w:szCs w:val="22"/>
              </w:rPr>
              <w:t xml:space="preserve">Parte 1: Motores de inducción de corriente alterna del tipo de rotor en cortocircuito, en potencias desde </w:t>
            </w:r>
            <w:smartTag w:uri="urn:schemas-microsoft-com:office:smarttags" w:element="metricconverter">
              <w:smartTagPr>
                <w:attr w:name="ProductID" w:val="0,062 a"/>
              </w:smartTagPr>
              <w:r w:rsidRPr="005A6FD2">
                <w:rPr>
                  <w:szCs w:val="22"/>
                </w:rPr>
                <w:t>0,062 a</w:t>
              </w:r>
            </w:smartTag>
            <w:r w:rsidRPr="005A6FD2">
              <w:rPr>
                <w:szCs w:val="22"/>
              </w:rPr>
              <w:t xml:space="preserve"> 373</w:t>
            </w:r>
            <w:r>
              <w:rPr>
                <w:szCs w:val="22"/>
              </w:rPr>
              <w:t xml:space="preserve"> </w:t>
            </w:r>
            <w:r w:rsidRPr="005A6FD2">
              <w:rPr>
                <w:szCs w:val="22"/>
              </w:rPr>
              <w:t>kW</w:t>
            </w:r>
            <w:r>
              <w:rPr>
                <w:szCs w:val="22"/>
              </w:rPr>
              <w:t>-</w:t>
            </w:r>
            <w:r w:rsidRPr="005A6FD2">
              <w:rPr>
                <w:szCs w:val="22"/>
              </w:rPr>
              <w:t>Especificaciones, publicada en el Diario Oficial de la Federación el 13 de enero de 1995.</w:t>
            </w:r>
          </w:p>
          <w:p w:rsidR="00582D89" w:rsidRPr="005A6FD2" w:rsidRDefault="00582D89" w:rsidP="00AB1EAA">
            <w:pPr>
              <w:pStyle w:val="texto"/>
              <w:spacing w:line="276" w:lineRule="exact"/>
              <w:ind w:left="396" w:hanging="396"/>
              <w:rPr>
                <w:szCs w:val="22"/>
              </w:rPr>
            </w:pPr>
            <w:r>
              <w:rPr>
                <w:szCs w:val="22"/>
              </w:rPr>
              <w:t>●</w:t>
            </w:r>
            <w:r w:rsidRPr="005A6FD2">
              <w:rPr>
                <w:szCs w:val="22"/>
              </w:rPr>
              <w:tab/>
              <w:t>NMX-J</w:t>
            </w:r>
            <w:r>
              <w:rPr>
                <w:szCs w:val="22"/>
              </w:rPr>
              <w:t>-321/4-ANCE-2013, Apartarrayos-</w:t>
            </w:r>
            <w:r w:rsidRPr="005A6FD2">
              <w:rPr>
                <w:szCs w:val="22"/>
              </w:rPr>
              <w:t xml:space="preserve">Parte 4: Apartarrayos de óxidos metálicos sin electrodos de descarga (explosores), para </w:t>
            </w:r>
            <w:r>
              <w:rPr>
                <w:szCs w:val="22"/>
              </w:rPr>
              <w:t>sistemas de corriente alterna-</w:t>
            </w:r>
            <w:r w:rsidRPr="005A6FD2">
              <w:rPr>
                <w:szCs w:val="22"/>
              </w:rPr>
              <w:t>Especificaciones y métodos de prueba, publicada en el Diario Oficial de la Federación el 28 de octubre de 2013.</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 xml:space="preserve">IEC 60076-1 ed3.0 </w:t>
            </w:r>
            <w:r>
              <w:rPr>
                <w:szCs w:val="22"/>
                <w:lang w:val="en-US"/>
              </w:rPr>
              <w:t xml:space="preserve">(2011-04), Power </w:t>
            </w:r>
            <w:proofErr w:type="gramStart"/>
            <w:r>
              <w:rPr>
                <w:szCs w:val="22"/>
                <w:lang w:val="en-US"/>
              </w:rPr>
              <w:t>transformers</w:t>
            </w:r>
            <w:proofErr w:type="gramEnd"/>
            <w:r>
              <w:rPr>
                <w:szCs w:val="22"/>
                <w:lang w:val="en-US"/>
              </w:rPr>
              <w:t>-</w:t>
            </w:r>
            <w:r w:rsidRPr="005A6FD2">
              <w:rPr>
                <w:szCs w:val="22"/>
                <w:lang w:val="en-US"/>
              </w:rPr>
              <w:t>Part 1: General.</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 xml:space="preserve">IEC 60076-5 Ed3.0 </w:t>
            </w:r>
            <w:r>
              <w:rPr>
                <w:szCs w:val="22"/>
                <w:lang w:val="en-US"/>
              </w:rPr>
              <w:t xml:space="preserve">(2006-02), Power </w:t>
            </w:r>
            <w:proofErr w:type="gramStart"/>
            <w:r>
              <w:rPr>
                <w:szCs w:val="22"/>
                <w:lang w:val="en-US"/>
              </w:rPr>
              <w:t>transformers</w:t>
            </w:r>
            <w:proofErr w:type="gramEnd"/>
            <w:r>
              <w:rPr>
                <w:szCs w:val="22"/>
                <w:lang w:val="en-US"/>
              </w:rPr>
              <w:t>-</w:t>
            </w:r>
            <w:r w:rsidRPr="005A6FD2">
              <w:rPr>
                <w:szCs w:val="22"/>
                <w:lang w:val="en-US"/>
              </w:rPr>
              <w:t>Part 5: Ability to withstand short circuit.</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ANSI/IEEE C57.19.01-2000, Performance characteristics and dimensions for outdoor apparatus bushings.</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ANSI/NEMA MG 1-2016, Motors and generators.</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IEEE C57.12.00-2015, General requirements for liquid-immersed distribution, power, and regulating transformers.</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IEEE C57.12.10-2010, Requirements for liquid-immersed power transformers.</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IEEE C57.12.90-2015, Test code for liquid-immersed distribution, power and regulating transformers.</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IEEE C57.19.00-2004, General requirements and test procedure for power apparatus bushings.</w:t>
            </w:r>
          </w:p>
          <w:p w:rsidR="00582D89" w:rsidRPr="005A6FD2" w:rsidRDefault="00582D89" w:rsidP="00AB1EAA">
            <w:pPr>
              <w:pStyle w:val="texto"/>
              <w:spacing w:line="276" w:lineRule="exact"/>
              <w:ind w:left="396" w:hanging="396"/>
              <w:rPr>
                <w:szCs w:val="22"/>
                <w:lang w:val="en-US"/>
              </w:rPr>
            </w:pPr>
            <w:r>
              <w:rPr>
                <w:szCs w:val="22"/>
                <w:lang w:val="en-US"/>
              </w:rPr>
              <w:t>●</w:t>
            </w:r>
            <w:r w:rsidRPr="005A6FD2">
              <w:rPr>
                <w:szCs w:val="22"/>
                <w:lang w:val="en-US"/>
              </w:rPr>
              <w:tab/>
              <w:t>IEEE C57.19.01-2000, Performance characteristics and dimensions for outdoor apparatus bushings.</w:t>
            </w:r>
          </w:p>
          <w:p w:rsidR="00582D89" w:rsidRPr="005A6FD2" w:rsidRDefault="00582D89" w:rsidP="00AB1EAA">
            <w:pPr>
              <w:pStyle w:val="texto"/>
              <w:spacing w:line="276" w:lineRule="exact"/>
              <w:ind w:left="396" w:hanging="396"/>
            </w:pPr>
            <w:r>
              <w:rPr>
                <w:szCs w:val="22"/>
              </w:rPr>
              <w:lastRenderedPageBreak/>
              <w:t>●</w:t>
            </w:r>
            <w:r w:rsidRPr="005A6FD2">
              <w:rPr>
                <w:szCs w:val="22"/>
              </w:rPr>
              <w:tab/>
              <w:t xml:space="preserve">International </w:t>
            </w:r>
            <w:proofErr w:type="spellStart"/>
            <w:r w:rsidRPr="005A6FD2">
              <w:rPr>
                <w:szCs w:val="22"/>
              </w:rPr>
              <w:t>Building</w:t>
            </w:r>
            <w:proofErr w:type="spellEnd"/>
            <w:r w:rsidRPr="005A6FD2">
              <w:rPr>
                <w:szCs w:val="22"/>
              </w:rPr>
              <w:t xml:space="preserve"> </w:t>
            </w:r>
            <w:proofErr w:type="spellStart"/>
            <w:r w:rsidRPr="005A6FD2">
              <w:rPr>
                <w:szCs w:val="22"/>
              </w:rPr>
              <w:t>Code</w:t>
            </w:r>
            <w:proofErr w:type="spellEnd"/>
            <w:r w:rsidRPr="005A6FD2">
              <w:rPr>
                <w:szCs w:val="22"/>
              </w:rPr>
              <w:t xml:space="preserve">, International </w:t>
            </w:r>
            <w:proofErr w:type="spellStart"/>
            <w:r w:rsidRPr="005A6FD2">
              <w:rPr>
                <w:szCs w:val="22"/>
              </w:rPr>
              <w:t>Code</w:t>
            </w:r>
            <w:proofErr w:type="spellEnd"/>
            <w:r w:rsidRPr="005A6FD2">
              <w:rPr>
                <w:szCs w:val="22"/>
              </w:rPr>
              <w:t xml:space="preserve"> Council, 2018, fecha de publicación 31 de </w:t>
            </w:r>
            <w:proofErr w:type="gramStart"/>
            <w:r w:rsidRPr="005A6FD2">
              <w:rPr>
                <w:szCs w:val="22"/>
              </w:rPr>
              <w:t xml:space="preserve">agosto </w:t>
            </w:r>
            <w:r>
              <w:rPr>
                <w:szCs w:val="22"/>
              </w:rPr>
              <w:t xml:space="preserve"> </w:t>
            </w:r>
            <w:r w:rsidRPr="005A6FD2">
              <w:rPr>
                <w:szCs w:val="22"/>
              </w:rPr>
              <w:t>de</w:t>
            </w:r>
            <w:proofErr w:type="gramEnd"/>
            <w:r w:rsidRPr="005A6FD2">
              <w:rPr>
                <w:szCs w:val="22"/>
              </w:rPr>
              <w:t xml:space="preserve"> 2017.</w:t>
            </w:r>
          </w:p>
        </w:tc>
      </w:tr>
    </w:tbl>
    <w:p w:rsidR="00582D89" w:rsidRPr="005A6FD2" w:rsidRDefault="00582D89" w:rsidP="00582D89">
      <w:pPr>
        <w:pStyle w:val="texto"/>
        <w:spacing w:line="276" w:lineRule="exact"/>
        <w:rPr>
          <w:szCs w:val="22"/>
        </w:rPr>
      </w:pPr>
    </w:p>
    <w:p w:rsidR="00582D89" w:rsidRPr="005C0C16" w:rsidRDefault="00582D89" w:rsidP="00582D89">
      <w:pPr>
        <w:pStyle w:val="texto"/>
        <w:spacing w:line="276" w:lineRule="exact"/>
        <w:rPr>
          <w:szCs w:val="22"/>
        </w:rPr>
      </w:pPr>
      <w:r w:rsidRPr="005C0C16">
        <w:rPr>
          <w:szCs w:val="22"/>
        </w:rPr>
        <w:t>Atentamente,</w:t>
      </w:r>
    </w:p>
    <w:p w:rsidR="00582D89" w:rsidRPr="005C0C16" w:rsidRDefault="00582D89" w:rsidP="00582D89">
      <w:pPr>
        <w:pStyle w:val="texto"/>
        <w:spacing w:line="276" w:lineRule="exact"/>
      </w:pPr>
      <w:r>
        <w:rPr>
          <w:szCs w:val="22"/>
        </w:rPr>
        <w:t xml:space="preserve">Ciudad de México, a </w:t>
      </w:r>
      <w:r w:rsidRPr="005A6FD2">
        <w:rPr>
          <w:szCs w:val="22"/>
        </w:rPr>
        <w:t>6 de septiembre de 2018</w:t>
      </w:r>
      <w:r>
        <w:rPr>
          <w:szCs w:val="22"/>
        </w:rPr>
        <w:t xml:space="preserve">.- El </w:t>
      </w:r>
      <w:r w:rsidRPr="005A6FD2">
        <w:t>Director General de Normas y Secretariado Técnico de la Comisión Nacional</w:t>
      </w:r>
      <w:r>
        <w:t xml:space="preserve"> </w:t>
      </w:r>
      <w:r w:rsidRPr="005A6FD2">
        <w:t>de Normalización</w:t>
      </w:r>
      <w:r>
        <w:t xml:space="preserve">, </w:t>
      </w:r>
      <w:r w:rsidRPr="005A6FD2">
        <w:rPr>
          <w:b/>
          <w:szCs w:val="22"/>
        </w:rPr>
        <w:t xml:space="preserve">Alberto Ulises Esteban </w:t>
      </w:r>
      <w:proofErr w:type="gramStart"/>
      <w:r w:rsidRPr="005A6FD2">
        <w:rPr>
          <w:b/>
          <w:szCs w:val="22"/>
        </w:rPr>
        <w:t>Marina</w:t>
      </w:r>
      <w:r>
        <w:rPr>
          <w:szCs w:val="22"/>
        </w:rPr>
        <w:t>.-</w:t>
      </w:r>
      <w:proofErr w:type="gramEnd"/>
      <w:r>
        <w:rPr>
          <w:szCs w:val="22"/>
        </w:rPr>
        <w:t xml:space="preserve"> Rúbrica.</w:t>
      </w:r>
    </w:p>
    <w:p w:rsidR="00582D89" w:rsidRDefault="00582D89"/>
    <w:sectPr w:rsidR="00582D8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F2C" w:rsidRDefault="005F5F2C" w:rsidP="00582D89">
      <w:r>
        <w:separator/>
      </w:r>
    </w:p>
  </w:endnote>
  <w:endnote w:type="continuationSeparator" w:id="0">
    <w:p w:rsidR="005F5F2C" w:rsidRDefault="005F5F2C" w:rsidP="0058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F2C" w:rsidRDefault="005F5F2C" w:rsidP="00582D89">
      <w:r>
        <w:separator/>
      </w:r>
    </w:p>
  </w:footnote>
  <w:footnote w:type="continuationSeparator" w:id="0">
    <w:p w:rsidR="005F5F2C" w:rsidRDefault="005F5F2C" w:rsidP="0058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D89" w:rsidRPr="003A38C4" w:rsidRDefault="00582D89" w:rsidP="00582D89">
    <w:pPr>
      <w:pStyle w:val="Fechas"/>
      <w:rPr>
        <w:rFonts w:cs="Times New Roman"/>
      </w:rPr>
    </w:pPr>
    <w:r w:rsidRPr="003A38C4">
      <w:rPr>
        <w:rFonts w:cs="Times New Roman"/>
      </w:rPr>
      <w:t xml:space="preserve">     (Tercera Sección)</w:t>
    </w:r>
    <w:r w:rsidRPr="003A38C4">
      <w:rPr>
        <w:rFonts w:cs="Times New Roman"/>
      </w:rPr>
      <w:tab/>
      <w:t>DIARIO OFICIAL</w:t>
    </w:r>
    <w:r w:rsidRPr="003A38C4">
      <w:rPr>
        <w:rFonts w:cs="Times New Roman"/>
      </w:rPr>
      <w:tab/>
    </w:r>
    <w:proofErr w:type="gramStart"/>
    <w:r w:rsidRPr="003A38C4">
      <w:rPr>
        <w:rFonts w:cs="Times New Roman"/>
      </w:rPr>
      <w:t>Jueves</w:t>
    </w:r>
    <w:proofErr w:type="gramEnd"/>
    <w:r w:rsidRPr="003A38C4">
      <w:rPr>
        <w:rFonts w:cs="Times New Roman"/>
      </w:rPr>
      <w:t xml:space="preserve"> 31 de enero de 2019</w:t>
    </w:r>
  </w:p>
  <w:p w:rsidR="00582D89" w:rsidRDefault="00582D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89"/>
    <w:rsid w:val="00582D89"/>
    <w:rsid w:val="005F5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B0C759"/>
  <w15:chartTrackingRefBased/>
  <w15:docId w15:val="{03EB2A97-6E1D-4E5E-9723-B9C62496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D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582D89"/>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582D89"/>
    <w:pPr>
      <w:pBdr>
        <w:top w:val="double" w:sz="6" w:space="1" w:color="auto"/>
      </w:pBdr>
      <w:snapToGrid/>
      <w:spacing w:line="240" w:lineRule="auto"/>
      <w:ind w:firstLine="0"/>
      <w:outlineLvl w:val="1"/>
    </w:pPr>
    <w:rPr>
      <w:szCs w:val="20"/>
    </w:rPr>
  </w:style>
  <w:style w:type="paragraph" w:customStyle="1" w:styleId="texto">
    <w:name w:val="texto"/>
    <w:basedOn w:val="Normal"/>
    <w:rsid w:val="00582D89"/>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582D89"/>
    <w:pPr>
      <w:jc w:val="center"/>
    </w:pPr>
    <w:rPr>
      <w:rFonts w:cs="Arial"/>
      <w:b/>
      <w:sz w:val="28"/>
      <w:szCs w:val="28"/>
      <w:lang w:val="es-ES_tradnl" w:eastAsia="es-MX"/>
    </w:rPr>
  </w:style>
  <w:style w:type="paragraph" w:styleId="Encabezado">
    <w:name w:val="header"/>
    <w:basedOn w:val="Normal"/>
    <w:link w:val="EncabezadoCar"/>
    <w:uiPriority w:val="99"/>
    <w:unhideWhenUsed/>
    <w:rsid w:val="00582D89"/>
    <w:pPr>
      <w:tabs>
        <w:tab w:val="center" w:pos="4419"/>
        <w:tab w:val="right" w:pos="8838"/>
      </w:tabs>
    </w:pPr>
  </w:style>
  <w:style w:type="character" w:customStyle="1" w:styleId="EncabezadoCar">
    <w:name w:val="Encabezado Car"/>
    <w:basedOn w:val="Fuentedeprrafopredeter"/>
    <w:link w:val="Encabezado"/>
    <w:uiPriority w:val="99"/>
    <w:rsid w:val="00582D8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82D89"/>
    <w:pPr>
      <w:tabs>
        <w:tab w:val="center" w:pos="4419"/>
        <w:tab w:val="right" w:pos="8838"/>
      </w:tabs>
    </w:pPr>
  </w:style>
  <w:style w:type="character" w:customStyle="1" w:styleId="PiedepginaCar">
    <w:name w:val="Pie de página Car"/>
    <w:basedOn w:val="Fuentedeprrafopredeter"/>
    <w:link w:val="Piedepgina"/>
    <w:uiPriority w:val="99"/>
    <w:rsid w:val="00582D89"/>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582D89"/>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5214</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2019-01-31T14:02:00Z</dcterms:created>
  <dcterms:modified xsi:type="dcterms:W3CDTF">2019-01-31T14:11:00Z</dcterms:modified>
</cp:coreProperties>
</file>